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### Etapa 1: Configuração do Subdomínio (Tipo A)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1. Crie 2 (dois) subdomínios (tipo A) apontando para o IP da sua VPS.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1.2 Exemplo: api.seusite.com &amp; portainer.seusite.com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### Etapa 2: Instalação dos Pacotes e Scripts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2. Com a VPS ativa e os subdomínios configurados, execute o seguinte código no console: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bash &lt;(curl -sSL setup.oriondesign.art.br)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### Etapa 3: Configuração durante a Instalação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3. Durante a instalação, selecione a opção 1 do instalador e siga as instruções fornecidas.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3.1 Salve os dados impressos no terminal.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### Etapa 4: Finalizado a instalação da opção 1 prossiga.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tl w:val="0"/>
        </w:rPr>
        <w:t xml:space="preserve">. Selecione a opção 3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4.1 Salve os dados impressos no terminal.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### Etapa 4: Edição do Arquivo `functions.php`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tl w:val="0"/>
        </w:rPr>
        <w:t xml:space="preserve">. Ao finalizar a instalação da API, edite o arquivo localizado em `master/classes/functions.php` com a URL da API e a globalkey obtida no passo anterior. Certifique-se de atualizar as informações conforme necessário.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Lembre-se de substituir a chave de exemplo (`5cfb49a657617ccf560c1856a15d48b9`) pela chave que você copiou anteriormente durante o processo de instalação.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Certifique-se de seguir esses passos com atenção para configurar corretamente a API com a globalkey e URL correspondentes.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